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项目绩效目标申报表</w:t>
      </w:r>
    </w:p>
    <w:p>
      <w:pPr>
        <w:spacing w:after="312" w:afterLines="100" w:line="520" w:lineRule="exact"/>
        <w:jc w:val="center"/>
        <w:rPr>
          <w:rFonts w:ascii="宋体" w:hAnsi="宋体" w:eastAsia="宋体"/>
          <w:sz w:val="24"/>
          <w:szCs w:val="24"/>
        </w:rPr>
      </w:pPr>
      <w:r>
        <w:rPr>
          <w:rFonts w:hint="eastAsia" w:ascii="宋体" w:hAnsi="宋体" w:eastAsia="宋体" w:cs="宋体"/>
          <w:bCs/>
          <w:kern w:val="0"/>
          <w:sz w:val="24"/>
          <w:szCs w:val="24"/>
        </w:rPr>
        <w:t>（20</w:t>
      </w:r>
      <w:r>
        <w:rPr>
          <w:rFonts w:hint="eastAsia" w:ascii="宋体" w:hAnsi="宋体" w:eastAsia="宋体" w:cs="宋体"/>
          <w:bCs/>
          <w:kern w:val="0"/>
          <w:sz w:val="24"/>
          <w:szCs w:val="24"/>
          <w:lang w:val="en-US" w:eastAsia="zh-CN"/>
        </w:rPr>
        <w:t>22</w:t>
      </w:r>
      <w:r>
        <w:rPr>
          <w:rFonts w:hint="eastAsia" w:ascii="宋体" w:hAnsi="宋体" w:eastAsia="宋体" w:cs="宋体"/>
          <w:bCs/>
          <w:kern w:val="0"/>
          <w:sz w:val="24"/>
          <w:szCs w:val="24"/>
        </w:rPr>
        <w:t>年度）</w:t>
      </w:r>
      <w:r>
        <w:rPr>
          <w:rFonts w:ascii="宋体" w:hAnsi="宋体" w:eastAsia="宋体"/>
          <w:sz w:val="24"/>
          <w:szCs w:val="24"/>
        </w:rPr>
        <w:fldChar w:fldCharType="begin"/>
      </w:r>
      <w:r>
        <w:rPr>
          <w:rFonts w:hint="eastAsia" w:ascii="宋体" w:hAnsi="宋体" w:eastAsia="宋体"/>
          <w:sz w:val="24"/>
          <w:szCs w:val="24"/>
        </w:rPr>
        <w:instrText xml:space="preserve"> LINK </w:instrText>
      </w:r>
      <w:r>
        <w:rPr>
          <w:rFonts w:ascii="宋体" w:hAnsi="宋体" w:eastAsia="宋体"/>
          <w:sz w:val="24"/>
          <w:szCs w:val="24"/>
        </w:rPr>
        <w:instrText xml:space="preserve">Excel.Sheet.8 C:\\Users\\Administrator\\Desktop\\绩效评价\\东西湖区相关文件\\征求意见稿\\东西湖区预算绩效目标管理办法8.5\\附件1、2、4.xls 附件1!R1:R65536 </w:instrText>
      </w:r>
      <w:r>
        <w:rPr>
          <w:rFonts w:hint="eastAsia" w:ascii="宋体" w:hAnsi="宋体" w:eastAsia="宋体"/>
          <w:sz w:val="24"/>
          <w:szCs w:val="24"/>
        </w:rPr>
        <w:instrText xml:space="preserve">\a \f 4 \h  \* MERGEFORMAT </w:instrText>
      </w:r>
      <w:r>
        <w:rPr>
          <w:rFonts w:ascii="宋体" w:hAnsi="宋体" w:eastAsia="宋体"/>
          <w:sz w:val="24"/>
          <w:szCs w:val="24"/>
        </w:rPr>
        <w:fldChar w:fldCharType="separate"/>
      </w:r>
    </w:p>
    <w:tbl>
      <w:tblPr>
        <w:tblStyle w:val="4"/>
        <w:tblW w:w="9357" w:type="dxa"/>
        <w:tblInd w:w="-318" w:type="dxa"/>
        <w:tblLayout w:type="fixed"/>
        <w:tblCellMar>
          <w:top w:w="0" w:type="dxa"/>
          <w:left w:w="108" w:type="dxa"/>
          <w:bottom w:w="0" w:type="dxa"/>
          <w:right w:w="108" w:type="dxa"/>
        </w:tblCellMar>
      </w:tblPr>
      <w:tblGrid>
        <w:gridCol w:w="1557"/>
        <w:gridCol w:w="1245"/>
        <w:gridCol w:w="738"/>
        <w:gridCol w:w="822"/>
        <w:gridCol w:w="311"/>
        <w:gridCol w:w="1704"/>
        <w:gridCol w:w="83"/>
        <w:gridCol w:w="1446"/>
        <w:gridCol w:w="1451"/>
      </w:tblGrid>
      <w:tr>
        <w:tblPrEx>
          <w:tblCellMar>
            <w:top w:w="0" w:type="dxa"/>
            <w:left w:w="108" w:type="dxa"/>
            <w:bottom w:w="0" w:type="dxa"/>
            <w:right w:w="108" w:type="dxa"/>
          </w:tblCellMar>
        </w:tblPrEx>
        <w:trPr>
          <w:trHeight w:val="405" w:hRule="atLeast"/>
        </w:trPr>
        <w:tc>
          <w:tcPr>
            <w:tcW w:w="9357" w:type="dxa"/>
            <w:gridSpan w:val="9"/>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填报日期：</w:t>
            </w:r>
            <w:r>
              <w:rPr>
                <w:rFonts w:hint="eastAsia" w:ascii="宋体" w:hAnsi="宋体" w:eastAsia="宋体" w:cs="宋体"/>
                <w:kern w:val="0"/>
                <w:sz w:val="24"/>
                <w:szCs w:val="24"/>
                <w:lang w:val="en-US" w:eastAsia="zh-CN"/>
              </w:rPr>
              <w:t>2021</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27</w:t>
            </w:r>
            <w:r>
              <w:rPr>
                <w:rFonts w:hint="eastAsia" w:ascii="宋体" w:hAnsi="宋体" w:eastAsia="宋体" w:cs="宋体"/>
                <w:kern w:val="0"/>
                <w:sz w:val="24"/>
                <w:szCs w:val="24"/>
              </w:rPr>
              <w:t>日                                   单位：万元</w:t>
            </w:r>
          </w:p>
        </w:tc>
      </w:tr>
      <w:tr>
        <w:tblPrEx>
          <w:tblCellMar>
            <w:top w:w="0" w:type="dxa"/>
            <w:left w:w="108" w:type="dxa"/>
            <w:bottom w:w="0" w:type="dxa"/>
            <w:right w:w="108" w:type="dxa"/>
          </w:tblCellMar>
        </w:tblPrEx>
        <w:trPr>
          <w:trHeight w:val="499"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7800"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sz w:val="24"/>
                <w:szCs w:val="24"/>
              </w:rPr>
              <w:t>市政设施管理维护</w:t>
            </w:r>
          </w:p>
        </w:tc>
      </w:tr>
      <w:tr>
        <w:tblPrEx>
          <w:tblCellMar>
            <w:top w:w="0" w:type="dxa"/>
            <w:left w:w="108" w:type="dxa"/>
            <w:bottom w:w="0" w:type="dxa"/>
            <w:right w:w="108" w:type="dxa"/>
          </w:tblCellMar>
        </w:tblPrEx>
        <w:trPr>
          <w:trHeight w:val="499"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项目主管部门</w:t>
            </w:r>
          </w:p>
        </w:tc>
        <w:tc>
          <w:tcPr>
            <w:tcW w:w="31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东西湖区城市管理执法局</w:t>
            </w:r>
          </w:p>
        </w:tc>
        <w:tc>
          <w:tcPr>
            <w:tcW w:w="17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项目执行单位</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市政管理科</w:t>
            </w:r>
          </w:p>
        </w:tc>
      </w:tr>
      <w:tr>
        <w:tblPrEx>
          <w:tblCellMar>
            <w:top w:w="0" w:type="dxa"/>
            <w:left w:w="108" w:type="dxa"/>
            <w:bottom w:w="0" w:type="dxa"/>
            <w:right w:w="108" w:type="dxa"/>
          </w:tblCellMar>
        </w:tblPrEx>
        <w:trPr>
          <w:trHeight w:val="499"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项目负责人</w:t>
            </w:r>
          </w:p>
        </w:tc>
        <w:tc>
          <w:tcPr>
            <w:tcW w:w="31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申国栋</w:t>
            </w:r>
          </w:p>
        </w:tc>
        <w:tc>
          <w:tcPr>
            <w:tcW w:w="17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联系电话</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lang w:val="en-US" w:eastAsia="zh-CN" w:bidi="ar-SA"/>
              </w:rPr>
            </w:pPr>
            <w:r>
              <w:rPr>
                <w:rFonts w:hint="eastAsia" w:ascii="宋体" w:hAnsi="宋体" w:eastAsia="宋体" w:cs="宋体"/>
                <w:kern w:val="0"/>
                <w:sz w:val="24"/>
                <w:szCs w:val="24"/>
              </w:rPr>
              <w:t>83226347</w:t>
            </w:r>
          </w:p>
        </w:tc>
      </w:tr>
      <w:tr>
        <w:tblPrEx>
          <w:tblCellMar>
            <w:top w:w="0" w:type="dxa"/>
            <w:left w:w="108" w:type="dxa"/>
            <w:bottom w:w="0" w:type="dxa"/>
            <w:right w:w="108" w:type="dxa"/>
          </w:tblCellMar>
        </w:tblPrEx>
        <w:trPr>
          <w:trHeight w:val="667"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项目类型</w:t>
            </w:r>
          </w:p>
        </w:tc>
        <w:tc>
          <w:tcPr>
            <w:tcW w:w="7800"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一次性项目□  常年性项目</w:t>
            </w:r>
            <w:r>
              <w:rPr>
                <w:rFonts w:hint="eastAsia" w:ascii="宋体" w:hAnsi="宋体" w:eastAsia="宋体" w:cs="宋体"/>
                <w:kern w:val="0"/>
                <w:sz w:val="24"/>
                <w:szCs w:val="24"/>
              </w:rPr>
              <w:sym w:font="Wingdings 2" w:char="0052"/>
            </w:r>
            <w:r>
              <w:rPr>
                <w:rFonts w:hint="eastAsia" w:ascii="宋体" w:hAnsi="宋体" w:eastAsia="宋体" w:cs="宋体"/>
                <w:kern w:val="0"/>
                <w:sz w:val="24"/>
                <w:szCs w:val="24"/>
              </w:rPr>
              <w:t xml:space="preserve">  延续性项目□（从   年至   年）</w:t>
            </w:r>
          </w:p>
        </w:tc>
      </w:tr>
      <w:tr>
        <w:tblPrEx>
          <w:tblCellMar>
            <w:top w:w="0" w:type="dxa"/>
            <w:left w:w="108" w:type="dxa"/>
            <w:bottom w:w="0" w:type="dxa"/>
            <w:right w:w="108" w:type="dxa"/>
          </w:tblCellMar>
        </w:tblPrEx>
        <w:trPr>
          <w:trHeight w:val="2766"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项目申请理由</w:t>
            </w:r>
          </w:p>
        </w:tc>
        <w:tc>
          <w:tcPr>
            <w:tcW w:w="7800" w:type="dxa"/>
            <w:gridSpan w:val="8"/>
            <w:tcBorders>
              <w:top w:val="single" w:color="auto" w:sz="4" w:space="0"/>
              <w:left w:val="nil"/>
              <w:bottom w:val="single" w:color="auto" w:sz="4" w:space="0"/>
              <w:right w:val="single" w:color="000000" w:sz="4" w:space="0"/>
            </w:tcBorders>
            <w:shd w:val="clear" w:color="auto" w:fill="auto"/>
            <w:vAlign w:val="center"/>
          </w:tcPr>
          <w:p>
            <w:pPr>
              <w:widowControl/>
              <w:ind w:firstLine="200" w:firstLineChars="100"/>
              <w:jc w:val="left"/>
              <w:rPr>
                <w:rFonts w:hint="eastAsia" w:ascii="宋体" w:hAnsi="宋体" w:eastAsia="宋体" w:cs="宋体"/>
                <w:kern w:val="0"/>
                <w:sz w:val="24"/>
                <w:szCs w:val="24"/>
                <w:lang w:val="en-US" w:eastAsia="zh-CN"/>
              </w:rPr>
            </w:pPr>
            <w:r>
              <w:rPr>
                <w:rFonts w:hint="eastAsia" w:ascii="宋体" w:hAnsi="宋体" w:eastAsia="宋体"/>
                <w:color w:val="000000"/>
                <w:sz w:val="20"/>
                <w:lang w:val="en-US" w:eastAsia="zh-CN"/>
              </w:rPr>
              <w:t>1、</w:t>
            </w:r>
            <w:r>
              <w:rPr>
                <w:rFonts w:ascii="宋体" w:hAnsi="宋体" w:eastAsia="宋体"/>
                <w:color w:val="000000"/>
                <w:sz w:val="20"/>
              </w:rPr>
              <w:t>对政府投资建设的景观亮化设施、企业自行建设并纳入区政府集中控制系统的景观亮化设施进行运行维护</w:t>
            </w:r>
            <w:r>
              <w:rPr>
                <w:rFonts w:hint="eastAsia" w:ascii="宋体" w:hAnsi="宋体" w:eastAsia="宋体"/>
                <w:color w:val="000000"/>
                <w:sz w:val="20"/>
                <w:lang w:eastAsia="zh-CN"/>
              </w:rPr>
              <w:t>；</w:t>
            </w:r>
            <w:r>
              <w:rPr>
                <w:rFonts w:hint="eastAsia" w:ascii="宋体" w:hAnsi="宋体" w:eastAsia="宋体"/>
                <w:color w:val="000000"/>
                <w:sz w:val="20"/>
                <w:lang w:val="en-US" w:eastAsia="zh-CN"/>
              </w:rPr>
              <w:t>2、</w:t>
            </w:r>
            <w:r>
              <w:rPr>
                <w:rFonts w:ascii="宋体" w:hAnsi="宋体" w:eastAsia="宋体"/>
                <w:color w:val="000000"/>
                <w:sz w:val="20"/>
              </w:rPr>
              <w:t>完成门面招牌改造工作</w:t>
            </w:r>
            <w:r>
              <w:rPr>
                <w:rFonts w:hint="eastAsia" w:ascii="宋体" w:hAnsi="宋体" w:eastAsia="宋体"/>
                <w:color w:val="000000"/>
                <w:sz w:val="20"/>
                <w:lang w:eastAsia="zh-CN"/>
              </w:rPr>
              <w:t>、对违规户外广告进行拆除；</w:t>
            </w:r>
            <w:r>
              <w:rPr>
                <w:rFonts w:hint="eastAsia" w:ascii="宋体" w:hAnsi="宋体" w:eastAsia="宋体"/>
                <w:color w:val="000000"/>
                <w:sz w:val="20"/>
                <w:lang w:val="en-US" w:eastAsia="zh-CN"/>
              </w:rPr>
              <w:t>3、</w:t>
            </w:r>
            <w:r>
              <w:rPr>
                <w:rFonts w:ascii="宋体" w:hAnsi="宋体" w:eastAsia="宋体"/>
                <w:color w:val="000000"/>
                <w:sz w:val="20"/>
              </w:rPr>
              <w:t>承担政府公共管理职能，对全区城市家具中架空管线容貌、井盖、交接箱、亭棚、杆牌、路名牌等设施进行监管，架空管线设置符合《武汉市架空管线容貌</w:t>
            </w:r>
            <w:r>
              <w:rPr>
                <w:rFonts w:hint="eastAsia" w:ascii="宋体" w:hAnsi="宋体" w:eastAsia="宋体"/>
                <w:color w:val="000000"/>
                <w:sz w:val="20"/>
                <w:lang w:eastAsia="zh-CN"/>
              </w:rPr>
              <w:t>管理技术规范</w:t>
            </w:r>
            <w:r>
              <w:rPr>
                <w:rFonts w:ascii="宋体" w:hAnsi="宋体" w:eastAsia="宋体"/>
                <w:color w:val="000000"/>
                <w:sz w:val="20"/>
              </w:rPr>
              <w:t>》、交接箱设置符合《武汉市城市道路箱柜设施设置技术导则》，井盖应急维修，路名牌设施维修更换</w:t>
            </w:r>
            <w:r>
              <w:rPr>
                <w:rFonts w:hint="eastAsia" w:ascii="宋体" w:hAnsi="宋体" w:eastAsia="宋体"/>
                <w:color w:val="000000"/>
                <w:sz w:val="20"/>
                <w:lang w:eastAsia="zh-CN"/>
              </w:rPr>
              <w:t>；</w:t>
            </w:r>
            <w:r>
              <w:rPr>
                <w:rFonts w:hint="eastAsia" w:ascii="宋体" w:hAnsi="宋体" w:eastAsia="宋体"/>
                <w:color w:val="000000"/>
                <w:sz w:val="20"/>
                <w:lang w:val="en-US" w:eastAsia="zh-CN"/>
              </w:rPr>
              <w:t>4、</w:t>
            </w:r>
            <w:r>
              <w:rPr>
                <w:rFonts w:ascii="宋体" w:hAnsi="宋体" w:eastAsia="宋体"/>
                <w:color w:val="000000"/>
                <w:sz w:val="20"/>
              </w:rPr>
              <w:t>根据《区人民政府办公室关于印发东西湖区道路养护管理办法的通知》（东政办〔2014〕25号）文件精神，</w:t>
            </w:r>
            <w:r>
              <w:rPr>
                <w:rFonts w:hint="eastAsia" w:ascii="宋体" w:hAnsi="宋体" w:eastAsia="宋体"/>
                <w:color w:val="000000"/>
                <w:sz w:val="20"/>
                <w:lang w:eastAsia="zh-CN"/>
              </w:rPr>
              <w:t>负责局管桥梁</w:t>
            </w:r>
            <w:r>
              <w:rPr>
                <w:rFonts w:ascii="宋体" w:hAnsi="宋体" w:eastAsia="宋体"/>
                <w:color w:val="000000"/>
                <w:sz w:val="20"/>
              </w:rPr>
              <w:t>的管理养护</w:t>
            </w:r>
            <w:r>
              <w:rPr>
                <w:rFonts w:hint="eastAsia" w:ascii="宋体" w:hAnsi="宋体" w:eastAsia="宋体"/>
                <w:color w:val="000000"/>
                <w:sz w:val="20"/>
                <w:lang w:eastAsia="zh-CN"/>
              </w:rPr>
              <w:t>。</w:t>
            </w:r>
          </w:p>
        </w:tc>
      </w:tr>
      <w:tr>
        <w:tblPrEx>
          <w:tblCellMar>
            <w:top w:w="0" w:type="dxa"/>
            <w:left w:w="108" w:type="dxa"/>
            <w:bottom w:w="0" w:type="dxa"/>
            <w:right w:w="108" w:type="dxa"/>
          </w:tblCellMar>
        </w:tblPrEx>
        <w:trPr>
          <w:trHeight w:val="2337"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项目主要内容</w:t>
            </w:r>
          </w:p>
        </w:tc>
        <w:tc>
          <w:tcPr>
            <w:tcW w:w="7800" w:type="dxa"/>
            <w:gridSpan w:val="8"/>
            <w:tcBorders>
              <w:top w:val="single" w:color="auto" w:sz="4" w:space="0"/>
              <w:left w:val="nil"/>
              <w:bottom w:val="single" w:color="auto" w:sz="4" w:space="0"/>
              <w:right w:val="single" w:color="000000" w:sz="4" w:space="0"/>
            </w:tcBorders>
            <w:shd w:val="clear" w:color="auto" w:fill="auto"/>
            <w:vAlign w:val="center"/>
          </w:tcPr>
          <w:p>
            <w:pPr>
              <w:widowControl/>
              <w:ind w:firstLine="200" w:firstLineChars="100"/>
              <w:rPr>
                <w:rFonts w:hint="default" w:ascii="宋体" w:hAnsi="宋体" w:eastAsia="宋体" w:cs="宋体"/>
                <w:kern w:val="0"/>
                <w:sz w:val="24"/>
                <w:szCs w:val="24"/>
                <w:lang w:val="en-US" w:eastAsia="zh-CN"/>
              </w:rPr>
            </w:pPr>
            <w:r>
              <w:rPr>
                <w:rFonts w:ascii="宋体" w:hAnsi="宋体" w:eastAsia="宋体"/>
                <w:color w:val="000000"/>
                <w:sz w:val="20"/>
              </w:rPr>
              <w:t>1、及时交纳电费及网络运营费，确保亮化设施运行正常</w:t>
            </w:r>
            <w:r>
              <w:rPr>
                <w:rFonts w:hint="eastAsia" w:ascii="宋体" w:hAnsi="宋体" w:eastAsia="宋体"/>
                <w:color w:val="000000"/>
                <w:sz w:val="20"/>
                <w:lang w:eastAsia="zh-CN"/>
              </w:rPr>
              <w:t>，</w:t>
            </w:r>
            <w:r>
              <w:rPr>
                <w:rFonts w:ascii="宋体" w:hAnsi="宋体" w:eastAsia="宋体"/>
                <w:color w:val="000000"/>
                <w:sz w:val="20"/>
              </w:rPr>
              <w:t>对故障灯具及设施及时修复。</w:t>
            </w:r>
            <w:r>
              <w:rPr>
                <w:rFonts w:hint="eastAsia" w:ascii="宋体" w:hAnsi="宋体" w:eastAsia="宋体"/>
                <w:color w:val="000000"/>
                <w:sz w:val="20"/>
                <w:lang w:val="en-US" w:eastAsia="zh-CN"/>
              </w:rPr>
              <w:t>2、户外广告、</w:t>
            </w:r>
            <w:r>
              <w:rPr>
                <w:rFonts w:ascii="宋体" w:hAnsi="宋体" w:eastAsia="宋体"/>
                <w:color w:val="000000"/>
                <w:sz w:val="20"/>
              </w:rPr>
              <w:t>门面招牌整治更换</w:t>
            </w:r>
            <w:r>
              <w:rPr>
                <w:rFonts w:hint="eastAsia" w:ascii="宋体" w:hAnsi="宋体" w:eastAsia="宋体"/>
                <w:color w:val="000000"/>
                <w:sz w:val="20"/>
                <w:lang w:eastAsia="zh-CN"/>
              </w:rPr>
              <w:t>；</w:t>
            </w:r>
            <w:r>
              <w:rPr>
                <w:rFonts w:hint="eastAsia" w:ascii="宋体" w:hAnsi="宋体" w:eastAsia="宋体"/>
                <w:color w:val="000000"/>
                <w:sz w:val="20"/>
                <w:lang w:val="en-US" w:eastAsia="zh-CN"/>
              </w:rPr>
              <w:t>3、</w:t>
            </w:r>
            <w:r>
              <w:rPr>
                <w:rFonts w:ascii="宋体" w:hAnsi="宋体" w:eastAsia="宋体"/>
                <w:color w:val="000000"/>
                <w:sz w:val="20"/>
              </w:rPr>
              <w:t>架空管线容貌监管应急抢修、井盖更换新型“六防”井盖及日常应急维修、占道设施整治（各类交接箱、亭棚、杆牌、废弃线杆等设施拆除）、新式路名牌巡查养护及维修更换</w:t>
            </w:r>
            <w:r>
              <w:rPr>
                <w:rFonts w:hint="eastAsia" w:ascii="宋体" w:hAnsi="宋体" w:eastAsia="宋体"/>
                <w:color w:val="000000"/>
                <w:sz w:val="20"/>
                <w:lang w:eastAsia="zh-CN"/>
              </w:rPr>
              <w:t>；</w:t>
            </w:r>
            <w:r>
              <w:rPr>
                <w:rFonts w:hint="eastAsia" w:ascii="宋体" w:hAnsi="宋体" w:eastAsia="宋体"/>
                <w:color w:val="000000"/>
                <w:sz w:val="20"/>
                <w:lang w:val="en-US" w:eastAsia="zh-CN"/>
              </w:rPr>
              <w:t>4、</w:t>
            </w:r>
            <w:r>
              <w:rPr>
                <w:rFonts w:ascii="宋体" w:hAnsi="宋体" w:eastAsia="宋体"/>
                <w:color w:val="000000"/>
                <w:sz w:val="20"/>
              </w:rPr>
              <w:t>桥梁管理养护</w:t>
            </w:r>
            <w:r>
              <w:rPr>
                <w:rFonts w:hint="eastAsia" w:ascii="宋体" w:hAnsi="宋体" w:eastAsia="宋体"/>
                <w:color w:val="000000"/>
                <w:sz w:val="20"/>
                <w:lang w:eastAsia="zh-CN"/>
              </w:rPr>
              <w:t>（</w:t>
            </w:r>
            <w:r>
              <w:rPr>
                <w:rFonts w:ascii="宋体" w:hAnsi="宋体" w:eastAsia="宋体"/>
                <w:color w:val="000000"/>
                <w:sz w:val="20"/>
              </w:rPr>
              <w:t>桥梁安全检测、病害日常处理</w:t>
            </w:r>
            <w:r>
              <w:rPr>
                <w:rFonts w:hint="eastAsia" w:ascii="宋体" w:hAnsi="宋体" w:eastAsia="宋体"/>
                <w:color w:val="000000"/>
                <w:sz w:val="20"/>
                <w:lang w:eastAsia="zh-CN"/>
              </w:rPr>
              <w:t>及维修</w:t>
            </w:r>
            <w:r>
              <w:rPr>
                <w:rFonts w:ascii="宋体" w:hAnsi="宋体" w:eastAsia="宋体"/>
                <w:color w:val="000000"/>
                <w:sz w:val="20"/>
              </w:rPr>
              <w:t>、智慧桥梁系统建设</w:t>
            </w:r>
            <w:r>
              <w:rPr>
                <w:rFonts w:hint="eastAsia" w:ascii="宋体" w:hAnsi="宋体" w:eastAsia="宋体"/>
                <w:color w:val="000000"/>
                <w:sz w:val="20"/>
                <w:lang w:eastAsia="zh-CN"/>
              </w:rPr>
              <w:t>等）</w:t>
            </w:r>
            <w:r>
              <w:rPr>
                <w:rFonts w:ascii="宋体" w:hAnsi="宋体" w:eastAsia="宋体"/>
                <w:color w:val="000000"/>
                <w:sz w:val="20"/>
              </w:rPr>
              <w:t>。</w:t>
            </w:r>
            <w:r>
              <w:rPr>
                <w:rFonts w:ascii="宋体" w:hAnsi="宋体" w:eastAsia="宋体"/>
                <w:color w:val="000000"/>
                <w:sz w:val="20"/>
              </w:rPr>
              <w:tab/>
            </w:r>
          </w:p>
        </w:tc>
      </w:tr>
      <w:tr>
        <w:tblPrEx>
          <w:tblCellMar>
            <w:top w:w="0" w:type="dxa"/>
            <w:left w:w="108" w:type="dxa"/>
            <w:bottom w:w="0" w:type="dxa"/>
            <w:right w:w="108" w:type="dxa"/>
          </w:tblCellMar>
        </w:tblPrEx>
        <w:trPr>
          <w:trHeight w:val="499"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项目总预算</w:t>
            </w:r>
          </w:p>
        </w:tc>
        <w:tc>
          <w:tcPr>
            <w:tcW w:w="3116"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1400万元</w:t>
            </w:r>
          </w:p>
        </w:tc>
        <w:tc>
          <w:tcPr>
            <w:tcW w:w="170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项目当年预算</w:t>
            </w:r>
          </w:p>
        </w:tc>
        <w:tc>
          <w:tcPr>
            <w:tcW w:w="29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1400万元</w:t>
            </w:r>
          </w:p>
        </w:tc>
      </w:tr>
      <w:tr>
        <w:tblPrEx>
          <w:tblCellMar>
            <w:top w:w="0" w:type="dxa"/>
            <w:left w:w="108" w:type="dxa"/>
            <w:bottom w:w="0" w:type="dxa"/>
            <w:right w:w="108" w:type="dxa"/>
          </w:tblCellMar>
        </w:tblPrEx>
        <w:trPr>
          <w:trHeight w:val="1440" w:hRule="atLeast"/>
        </w:trPr>
        <w:tc>
          <w:tcPr>
            <w:tcW w:w="1557"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项目前两年预</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算及当年预算</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变动情况</w:t>
            </w:r>
          </w:p>
        </w:tc>
        <w:tc>
          <w:tcPr>
            <w:tcW w:w="7800"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2020年预算1500万元，2021年预算1400万元，</w:t>
            </w:r>
          </w:p>
        </w:tc>
      </w:tr>
      <w:tr>
        <w:tblPrEx>
          <w:tblCellMar>
            <w:top w:w="0" w:type="dxa"/>
            <w:left w:w="108" w:type="dxa"/>
            <w:bottom w:w="0" w:type="dxa"/>
            <w:right w:w="108" w:type="dxa"/>
          </w:tblCellMar>
        </w:tblPrEx>
        <w:trPr>
          <w:trHeight w:val="499" w:hRule="atLeast"/>
        </w:trPr>
        <w:tc>
          <w:tcPr>
            <w:tcW w:w="1557"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项目资金来源</w:t>
            </w:r>
          </w:p>
        </w:tc>
        <w:tc>
          <w:tcPr>
            <w:tcW w:w="48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资金来源</w:t>
            </w:r>
          </w:p>
        </w:tc>
        <w:tc>
          <w:tcPr>
            <w:tcW w:w="29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r>
      <w:tr>
        <w:tblPrEx>
          <w:tblCellMar>
            <w:top w:w="0" w:type="dxa"/>
            <w:left w:w="108" w:type="dxa"/>
            <w:bottom w:w="0" w:type="dxa"/>
            <w:right w:w="108" w:type="dxa"/>
          </w:tblCellMar>
        </w:tblPrEx>
        <w:trPr>
          <w:trHeight w:val="499" w:hRule="atLeast"/>
        </w:trPr>
        <w:tc>
          <w:tcPr>
            <w:tcW w:w="1557"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1400</w:t>
            </w:r>
          </w:p>
        </w:tc>
      </w:tr>
      <w:tr>
        <w:tblPrEx>
          <w:tblCellMar>
            <w:top w:w="0" w:type="dxa"/>
            <w:left w:w="108" w:type="dxa"/>
            <w:bottom w:w="0" w:type="dxa"/>
            <w:right w:w="108" w:type="dxa"/>
          </w:tblCellMar>
        </w:tblPrEx>
        <w:trPr>
          <w:trHeight w:val="499" w:hRule="atLeast"/>
        </w:trPr>
        <w:tc>
          <w:tcPr>
            <w:tcW w:w="1557"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公共预算财政拨款</w:t>
            </w:r>
          </w:p>
        </w:tc>
        <w:tc>
          <w:tcPr>
            <w:tcW w:w="29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1400</w:t>
            </w:r>
          </w:p>
        </w:tc>
      </w:tr>
      <w:tr>
        <w:tblPrEx>
          <w:tblCellMar>
            <w:top w:w="0" w:type="dxa"/>
            <w:left w:w="108" w:type="dxa"/>
            <w:bottom w:w="0" w:type="dxa"/>
            <w:right w:w="108" w:type="dxa"/>
          </w:tblCellMar>
        </w:tblPrEx>
        <w:trPr>
          <w:trHeight w:val="90" w:hRule="atLeast"/>
        </w:trPr>
        <w:tc>
          <w:tcPr>
            <w:tcW w:w="1557"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29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1557"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20" w:type="dxa"/>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其他资金</w:t>
            </w:r>
          </w:p>
        </w:tc>
        <w:tc>
          <w:tcPr>
            <w:tcW w:w="2980"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bookmarkStart w:id="0" w:name="_GoBack"/>
            <w:bookmarkEnd w:id="0"/>
          </w:p>
        </w:tc>
      </w:tr>
      <w:tr>
        <w:tblPrEx>
          <w:tblCellMar>
            <w:top w:w="0" w:type="dxa"/>
            <w:left w:w="108" w:type="dxa"/>
            <w:bottom w:w="0" w:type="dxa"/>
            <w:right w:w="108" w:type="dxa"/>
          </w:tblCellMar>
        </w:tblPrEx>
        <w:trPr>
          <w:trHeight w:val="499" w:hRule="atLeast"/>
        </w:trPr>
        <w:tc>
          <w:tcPr>
            <w:tcW w:w="1557"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项目支出预算 </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及测算依据</w:t>
            </w:r>
          </w:p>
        </w:tc>
        <w:tc>
          <w:tcPr>
            <w:tcW w:w="1983" w:type="dxa"/>
            <w:gridSpan w:val="2"/>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项目支出</w:t>
            </w:r>
            <w:r>
              <w:rPr>
                <w:rFonts w:hint="eastAsia" w:ascii="宋体" w:hAnsi="宋体" w:eastAsia="宋体" w:cs="Times New Roman"/>
                <w:kern w:val="0"/>
                <w:sz w:val="18"/>
                <w:szCs w:val="18"/>
                <w:lang w:val="en-US" w:eastAsia="zh-CN"/>
              </w:rPr>
              <w:br w:type="textWrapping"/>
            </w:r>
            <w:r>
              <w:rPr>
                <w:rFonts w:hint="eastAsia" w:ascii="宋体" w:hAnsi="宋体" w:eastAsia="宋体" w:cs="Times New Roman"/>
                <w:kern w:val="0"/>
                <w:sz w:val="18"/>
                <w:szCs w:val="18"/>
                <w:lang w:val="en-US" w:eastAsia="zh-CN"/>
              </w:rPr>
              <w:t>明细预算</w:t>
            </w:r>
          </w:p>
        </w:tc>
        <w:tc>
          <w:tcPr>
            <w:tcW w:w="28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项目支出明细</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金额</w:t>
            </w:r>
          </w:p>
        </w:tc>
      </w:tr>
      <w:tr>
        <w:tblPrEx>
          <w:tblCellMar>
            <w:top w:w="0" w:type="dxa"/>
            <w:left w:w="108" w:type="dxa"/>
            <w:bottom w:w="0" w:type="dxa"/>
            <w:right w:w="108" w:type="dxa"/>
          </w:tblCellMar>
        </w:tblPrEx>
        <w:trPr>
          <w:trHeight w:val="449" w:hRule="atLeast"/>
        </w:trPr>
        <w:tc>
          <w:tcPr>
            <w:tcW w:w="155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983" w:type="dxa"/>
            <w:gridSpan w:val="2"/>
            <w:vMerge w:val="continue"/>
            <w:tcBorders>
              <w:left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p>
        </w:tc>
        <w:tc>
          <w:tcPr>
            <w:tcW w:w="2837" w:type="dxa"/>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合计</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1400</w:t>
            </w:r>
          </w:p>
        </w:tc>
      </w:tr>
      <w:tr>
        <w:tblPrEx>
          <w:tblCellMar>
            <w:top w:w="0" w:type="dxa"/>
            <w:left w:w="108" w:type="dxa"/>
            <w:bottom w:w="0" w:type="dxa"/>
            <w:right w:w="108" w:type="dxa"/>
          </w:tblCellMar>
        </w:tblPrEx>
        <w:trPr>
          <w:trHeight w:val="427" w:hRule="atLeast"/>
        </w:trPr>
        <w:tc>
          <w:tcPr>
            <w:tcW w:w="155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983" w:type="dxa"/>
            <w:gridSpan w:val="2"/>
            <w:vMerge w:val="continue"/>
            <w:tcBorders>
              <w:left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p>
        </w:tc>
        <w:tc>
          <w:tcPr>
            <w:tcW w:w="283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1.景观照明设施运行维护</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600</w:t>
            </w:r>
          </w:p>
        </w:tc>
      </w:tr>
      <w:tr>
        <w:tblPrEx>
          <w:tblCellMar>
            <w:top w:w="0" w:type="dxa"/>
            <w:left w:w="108" w:type="dxa"/>
            <w:bottom w:w="0" w:type="dxa"/>
            <w:right w:w="108" w:type="dxa"/>
          </w:tblCellMar>
        </w:tblPrEx>
        <w:trPr>
          <w:trHeight w:val="444" w:hRule="atLeast"/>
        </w:trPr>
        <w:tc>
          <w:tcPr>
            <w:tcW w:w="155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983" w:type="dxa"/>
            <w:gridSpan w:val="2"/>
            <w:vMerge w:val="continue"/>
            <w:tcBorders>
              <w:left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p>
        </w:tc>
        <w:tc>
          <w:tcPr>
            <w:tcW w:w="283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2.户外广告门面招牌整治</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150</w:t>
            </w:r>
          </w:p>
        </w:tc>
      </w:tr>
      <w:tr>
        <w:tblPrEx>
          <w:tblCellMar>
            <w:top w:w="0" w:type="dxa"/>
            <w:left w:w="108" w:type="dxa"/>
            <w:bottom w:w="0" w:type="dxa"/>
            <w:right w:w="108" w:type="dxa"/>
          </w:tblCellMar>
        </w:tblPrEx>
        <w:trPr>
          <w:trHeight w:val="404" w:hRule="atLeast"/>
        </w:trPr>
        <w:tc>
          <w:tcPr>
            <w:tcW w:w="155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983" w:type="dxa"/>
            <w:gridSpan w:val="2"/>
            <w:vMerge w:val="continue"/>
            <w:tcBorders>
              <w:left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p>
        </w:tc>
        <w:tc>
          <w:tcPr>
            <w:tcW w:w="283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3.城市家具专项整治</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600</w:t>
            </w:r>
          </w:p>
        </w:tc>
      </w:tr>
      <w:tr>
        <w:tblPrEx>
          <w:tblCellMar>
            <w:top w:w="0" w:type="dxa"/>
            <w:left w:w="108" w:type="dxa"/>
            <w:bottom w:w="0" w:type="dxa"/>
            <w:right w:w="108" w:type="dxa"/>
          </w:tblCellMar>
        </w:tblPrEx>
        <w:trPr>
          <w:trHeight w:val="344" w:hRule="atLeast"/>
        </w:trPr>
        <w:tc>
          <w:tcPr>
            <w:tcW w:w="1557"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983" w:type="dxa"/>
            <w:gridSpan w:val="2"/>
            <w:vMerge w:val="continue"/>
            <w:tcBorders>
              <w:left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p>
        </w:tc>
        <w:tc>
          <w:tcPr>
            <w:tcW w:w="2837" w:type="dxa"/>
            <w:gridSpan w:val="3"/>
            <w:tcBorders>
              <w:top w:val="single" w:color="auto" w:sz="4" w:space="0"/>
              <w:left w:val="nil"/>
              <w:bottom w:val="single" w:color="auto" w:sz="4" w:space="0"/>
              <w:right w:val="single" w:color="000000" w:sz="4" w:space="0"/>
            </w:tcBorders>
            <w:shd w:val="clear" w:color="auto" w:fill="auto"/>
            <w:vAlign w:val="center"/>
          </w:tcPr>
          <w:p>
            <w:pPr>
              <w:widowControl/>
              <w:jc w:val="left"/>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4、城市桥梁管理养护</w:t>
            </w:r>
          </w:p>
        </w:tc>
        <w:tc>
          <w:tcPr>
            <w:tcW w:w="2980"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50</w:t>
            </w:r>
          </w:p>
        </w:tc>
      </w:tr>
      <w:tr>
        <w:tblPrEx>
          <w:tblCellMar>
            <w:top w:w="0" w:type="dxa"/>
            <w:left w:w="108" w:type="dxa"/>
            <w:bottom w:w="0" w:type="dxa"/>
            <w:right w:w="108" w:type="dxa"/>
          </w:tblCellMar>
        </w:tblPrEx>
        <w:trPr>
          <w:trHeight w:val="1434" w:hRule="atLeast"/>
        </w:trPr>
        <w:tc>
          <w:tcPr>
            <w:tcW w:w="1557"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983"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测算依据</w:t>
            </w:r>
            <w:r>
              <w:rPr>
                <w:rFonts w:hint="eastAsia" w:ascii="宋体" w:hAnsi="宋体" w:eastAsia="宋体" w:cs="宋体"/>
                <w:kern w:val="0"/>
                <w:sz w:val="24"/>
                <w:szCs w:val="24"/>
              </w:rPr>
              <w:br w:type="textWrapping"/>
            </w:r>
            <w:r>
              <w:rPr>
                <w:rFonts w:hint="eastAsia" w:ascii="宋体" w:hAnsi="宋体" w:eastAsia="宋体" w:cs="宋体"/>
                <w:kern w:val="0"/>
                <w:sz w:val="24"/>
                <w:szCs w:val="24"/>
              </w:rPr>
              <w:t>及说明</w:t>
            </w:r>
          </w:p>
        </w:tc>
        <w:tc>
          <w:tcPr>
            <w:tcW w:w="5817" w:type="dxa"/>
            <w:gridSpan w:val="6"/>
            <w:tcBorders>
              <w:top w:val="single" w:color="auto" w:sz="4" w:space="0"/>
              <w:left w:val="nil"/>
              <w:bottom w:val="single" w:color="auto" w:sz="4" w:space="0"/>
              <w:right w:val="single" w:color="000000" w:sz="4" w:space="0"/>
            </w:tcBorders>
            <w:shd w:val="clear" w:color="auto" w:fill="auto"/>
            <w:vAlign w:val="center"/>
          </w:tcPr>
          <w:p>
            <w:pPr>
              <w:widowControl/>
              <w:ind w:firstLine="200" w:firstLineChars="100"/>
              <w:rPr>
                <w:rFonts w:hint="eastAsia" w:ascii="宋体" w:hAnsi="宋体" w:eastAsia="宋体"/>
                <w:color w:val="000000"/>
                <w:sz w:val="20"/>
                <w:lang w:val="en-US" w:eastAsia="zh-CN"/>
              </w:rPr>
            </w:pPr>
            <w:r>
              <w:rPr>
                <w:rFonts w:hint="eastAsia" w:ascii="宋体" w:hAnsi="宋体" w:eastAsia="宋体"/>
                <w:color w:val="000000"/>
                <w:sz w:val="20"/>
                <w:lang w:val="en-US" w:eastAsia="zh-CN"/>
              </w:rPr>
              <w:t>1、</w:t>
            </w:r>
            <w:r>
              <w:rPr>
                <w:rFonts w:hint="eastAsia" w:ascii="宋体" w:hAnsi="宋体" w:eastAsia="宋体"/>
                <w:color w:val="000000"/>
                <w:sz w:val="20"/>
              </w:rPr>
              <w:t>景观照明设施运行维护</w:t>
            </w:r>
            <w:r>
              <w:rPr>
                <w:rFonts w:hint="eastAsia" w:ascii="宋体" w:hAnsi="宋体" w:eastAsia="宋体"/>
                <w:color w:val="000000"/>
                <w:sz w:val="20"/>
                <w:lang w:eastAsia="zh-CN"/>
              </w:rPr>
              <w:t>费：按照景观亮化设施巡查维护</w:t>
            </w:r>
            <w:r>
              <w:rPr>
                <w:rFonts w:hint="eastAsia" w:ascii="宋体" w:hAnsi="宋体" w:eastAsia="宋体"/>
                <w:color w:val="000000"/>
                <w:sz w:val="20"/>
                <w:lang w:val="en-US" w:eastAsia="zh-CN"/>
              </w:rPr>
              <w:t>80万元，景观亮化设施灯具配件更换120万元，春节景观亮化节日氛围营造（悬挂LED灯笼、中国结）100万元、景观亮化设施网络服务费20万元、景观亮化设施电费280万元估算。</w:t>
            </w:r>
          </w:p>
          <w:p>
            <w:pPr>
              <w:widowControl/>
              <w:ind w:firstLine="200" w:firstLineChars="100"/>
              <w:rPr>
                <w:rFonts w:hint="eastAsia" w:ascii="宋体" w:hAnsi="宋体" w:eastAsia="宋体"/>
                <w:color w:val="000000"/>
                <w:sz w:val="20"/>
                <w:lang w:val="en-US" w:eastAsia="zh-CN"/>
              </w:rPr>
            </w:pPr>
            <w:r>
              <w:rPr>
                <w:rFonts w:hint="eastAsia" w:ascii="宋体" w:hAnsi="宋体" w:eastAsia="宋体"/>
                <w:color w:val="000000"/>
                <w:sz w:val="20"/>
              </w:rPr>
              <w:t>2.户外广告门面招牌整治</w:t>
            </w:r>
            <w:r>
              <w:rPr>
                <w:rFonts w:hint="eastAsia" w:ascii="宋体" w:hAnsi="宋体" w:eastAsia="宋体"/>
                <w:color w:val="000000"/>
                <w:sz w:val="20"/>
                <w:lang w:eastAsia="zh-CN"/>
              </w:rPr>
              <w:t>费：</w:t>
            </w:r>
            <w:r>
              <w:rPr>
                <w:rFonts w:hint="eastAsia" w:ascii="宋体" w:hAnsi="宋体" w:eastAsia="宋体"/>
                <w:color w:val="000000"/>
                <w:sz w:val="20"/>
                <w:lang w:val="en-US" w:eastAsia="zh-CN"/>
              </w:rPr>
              <w:t>按照违规广告拆除20万元、门面招牌整治70万元、国庆节期间主干道悬挂国旗40万元、户外广告规划详细编制20万元估算。</w:t>
            </w:r>
          </w:p>
          <w:p>
            <w:pPr>
              <w:widowControl/>
              <w:ind w:firstLine="200" w:firstLineChars="100"/>
              <w:rPr>
                <w:rFonts w:hint="eastAsia" w:ascii="宋体" w:hAnsi="宋体" w:eastAsia="宋体"/>
                <w:color w:val="000000"/>
                <w:sz w:val="20"/>
                <w:lang w:val="en-US" w:eastAsia="zh-CN"/>
              </w:rPr>
            </w:pPr>
            <w:r>
              <w:rPr>
                <w:rFonts w:hint="eastAsia" w:ascii="宋体" w:hAnsi="宋体" w:eastAsia="宋体"/>
                <w:color w:val="000000"/>
                <w:sz w:val="20"/>
                <w:lang w:val="en-US" w:eastAsia="zh-CN"/>
              </w:rPr>
              <w:t>3、</w:t>
            </w:r>
            <w:r>
              <w:rPr>
                <w:rFonts w:hint="eastAsia" w:ascii="宋体" w:hAnsi="宋体" w:eastAsia="宋体"/>
                <w:color w:val="000000"/>
                <w:sz w:val="20"/>
              </w:rPr>
              <w:t>城市家具专项整治</w:t>
            </w:r>
            <w:r>
              <w:rPr>
                <w:rFonts w:hint="eastAsia" w:ascii="宋体" w:hAnsi="宋体" w:eastAsia="宋体"/>
                <w:color w:val="000000"/>
                <w:sz w:val="20"/>
                <w:lang w:eastAsia="zh-CN"/>
              </w:rPr>
              <w:t>费：按照井盖应急维修</w:t>
            </w:r>
            <w:r>
              <w:rPr>
                <w:rFonts w:hint="eastAsia" w:ascii="宋体" w:hAnsi="宋体" w:eastAsia="宋体"/>
                <w:color w:val="000000"/>
                <w:sz w:val="20"/>
                <w:lang w:val="en-US" w:eastAsia="zh-CN"/>
              </w:rPr>
              <w:t>3000元/套、井盖应急总资金不低于500万元的标准，拆除箱柜、杆牌300元/个、架空管线40万元/街道估算。</w:t>
            </w:r>
          </w:p>
          <w:p>
            <w:pPr>
              <w:widowControl/>
              <w:ind w:firstLine="200" w:firstLineChars="100"/>
              <w:rPr>
                <w:rFonts w:hint="default" w:ascii="宋体" w:hAnsi="宋体" w:eastAsia="宋体" w:cs="宋体"/>
                <w:kern w:val="0"/>
                <w:sz w:val="24"/>
                <w:szCs w:val="24"/>
                <w:lang w:val="en-US" w:eastAsia="zh-CN"/>
              </w:rPr>
            </w:pPr>
            <w:r>
              <w:rPr>
                <w:rFonts w:hint="eastAsia" w:ascii="宋体" w:hAnsi="宋体" w:eastAsia="宋体"/>
                <w:color w:val="000000"/>
                <w:sz w:val="20"/>
                <w:lang w:val="en-US" w:eastAsia="zh-CN"/>
              </w:rPr>
              <w:t>4、城市桥梁管理养护：按照桥梁检测5万元/座的标准，人行天桥智慧桥梁建设15万元/座或者20万/座的标准估算。</w:t>
            </w:r>
          </w:p>
        </w:tc>
      </w:tr>
      <w:tr>
        <w:tblPrEx>
          <w:tblCellMar>
            <w:top w:w="0" w:type="dxa"/>
            <w:left w:w="108" w:type="dxa"/>
            <w:bottom w:w="0" w:type="dxa"/>
            <w:right w:w="108" w:type="dxa"/>
          </w:tblCellMar>
        </w:tblPrEx>
        <w:trPr>
          <w:trHeight w:val="841" w:hRule="atLeast"/>
        </w:trPr>
        <w:tc>
          <w:tcPr>
            <w:tcW w:w="15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项目绩效总目标</w:t>
            </w:r>
          </w:p>
        </w:tc>
        <w:tc>
          <w:tcPr>
            <w:tcW w:w="7800" w:type="dxa"/>
            <w:gridSpan w:val="8"/>
            <w:tcBorders>
              <w:top w:val="single" w:color="auto" w:sz="4" w:space="0"/>
              <w:left w:val="nil"/>
              <w:bottom w:val="single" w:color="auto" w:sz="4" w:space="0"/>
              <w:right w:val="single" w:color="auto" w:sz="4" w:space="0"/>
            </w:tcBorders>
            <w:shd w:val="clear" w:color="auto" w:fill="auto"/>
            <w:vAlign w:val="center"/>
          </w:tcPr>
          <w:p>
            <w:pPr>
              <w:widowControl/>
              <w:jc w:val="both"/>
              <w:rPr>
                <w:rFonts w:hint="eastAsia" w:ascii="宋体" w:hAnsi="宋体" w:eastAsia="宋体" w:cs="宋体"/>
                <w:kern w:val="0"/>
                <w:sz w:val="24"/>
                <w:szCs w:val="24"/>
                <w:lang w:val="en-US" w:eastAsia="zh-CN"/>
              </w:rPr>
            </w:pPr>
            <w:r>
              <w:rPr>
                <w:rFonts w:hint="eastAsia" w:ascii="宋体" w:hAnsi="宋体" w:eastAsia="宋体"/>
                <w:color w:val="000000"/>
                <w:sz w:val="20"/>
                <w:lang w:val="en-US" w:eastAsia="zh-CN"/>
              </w:rPr>
              <w:t>1、</w:t>
            </w:r>
            <w:r>
              <w:rPr>
                <w:rFonts w:ascii="宋体" w:hAnsi="宋体" w:eastAsia="宋体"/>
                <w:color w:val="000000"/>
                <w:sz w:val="20"/>
              </w:rPr>
              <w:t>确保景观亮化设施完好率达95%以上，亮灯率达98%以上，景观亮化设施运行稳定，无安全事故发生</w:t>
            </w:r>
            <w:r>
              <w:rPr>
                <w:rFonts w:hint="eastAsia" w:ascii="宋体" w:hAnsi="宋体" w:eastAsia="宋体"/>
                <w:color w:val="000000"/>
                <w:sz w:val="20"/>
                <w:lang w:eastAsia="zh-CN"/>
              </w:rPr>
              <w:t>；</w:t>
            </w:r>
            <w:r>
              <w:rPr>
                <w:rFonts w:hint="eastAsia" w:ascii="宋体" w:hAnsi="宋体" w:eastAsia="宋体"/>
                <w:color w:val="000000"/>
                <w:sz w:val="20"/>
                <w:lang w:val="en-US" w:eastAsia="zh-CN"/>
              </w:rPr>
              <w:t>2、</w:t>
            </w:r>
            <w:r>
              <w:rPr>
                <w:rFonts w:ascii="宋体" w:hAnsi="宋体" w:eastAsia="宋体"/>
                <w:color w:val="000000"/>
                <w:sz w:val="20"/>
              </w:rPr>
              <w:t>确保城市家具符合设置要求，安全无事故</w:t>
            </w:r>
            <w:r>
              <w:rPr>
                <w:rFonts w:hint="eastAsia" w:ascii="宋体" w:hAnsi="宋体" w:eastAsia="宋体"/>
                <w:color w:val="000000"/>
                <w:sz w:val="20"/>
                <w:lang w:eastAsia="zh-CN"/>
              </w:rPr>
              <w:t>；</w:t>
            </w:r>
            <w:r>
              <w:rPr>
                <w:rFonts w:hint="eastAsia" w:ascii="宋体" w:hAnsi="宋体" w:eastAsia="宋体"/>
                <w:color w:val="000000"/>
                <w:sz w:val="20"/>
                <w:lang w:val="en-US" w:eastAsia="zh-CN"/>
              </w:rPr>
              <w:t>3、</w:t>
            </w:r>
            <w:r>
              <w:rPr>
                <w:rFonts w:ascii="宋体" w:hAnsi="宋体" w:eastAsia="宋体"/>
                <w:color w:val="000000"/>
                <w:sz w:val="20"/>
              </w:rPr>
              <w:t>确保自管桥梁安全通行</w:t>
            </w:r>
            <w:r>
              <w:rPr>
                <w:rFonts w:hint="eastAsia" w:ascii="宋体" w:hAnsi="宋体" w:eastAsia="宋体"/>
                <w:color w:val="000000"/>
                <w:sz w:val="20"/>
                <w:lang w:val="en-US" w:eastAsia="zh-CN"/>
              </w:rPr>
              <w:t>.</w:t>
            </w:r>
          </w:p>
        </w:tc>
      </w:tr>
      <w:tr>
        <w:tblPrEx>
          <w:tblCellMar>
            <w:top w:w="0" w:type="dxa"/>
            <w:left w:w="108" w:type="dxa"/>
            <w:bottom w:w="0" w:type="dxa"/>
            <w:right w:w="108" w:type="dxa"/>
          </w:tblCellMar>
        </w:tblPrEx>
        <w:trPr>
          <w:trHeight w:val="431" w:hRule="atLeast"/>
        </w:trPr>
        <w:tc>
          <w:tcPr>
            <w:tcW w:w="155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r>
              <w:rPr>
                <w:rFonts w:hint="eastAsia" w:ascii="宋体" w:hAnsi="宋体" w:eastAsia="宋体" w:cs="宋体"/>
                <w:kern w:val="0"/>
                <w:sz w:val="24"/>
                <w:szCs w:val="24"/>
              </w:rPr>
              <w:t>项目年度</w:t>
            </w:r>
            <w:r>
              <w:rPr>
                <w:rFonts w:hint="eastAsia" w:ascii="宋体" w:hAnsi="宋体" w:eastAsia="宋体" w:cs="宋体"/>
                <w:kern w:val="0"/>
                <w:sz w:val="24"/>
                <w:szCs w:val="24"/>
              </w:rPr>
              <w:br w:type="textWrapping"/>
            </w:r>
            <w:r>
              <w:rPr>
                <w:rFonts w:hint="eastAsia" w:ascii="宋体" w:hAnsi="宋体" w:eastAsia="宋体" w:cs="宋体"/>
                <w:kern w:val="0"/>
                <w:sz w:val="24"/>
                <w:szCs w:val="24"/>
              </w:rPr>
              <w:t>绩效指标</w:t>
            </w: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一级指标</w:t>
            </w:r>
          </w:p>
        </w:tc>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二级指标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指标内容</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指标值</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绩效标准</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产出指标</w:t>
            </w: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数量指标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Times New Roman"/>
                <w:kern w:val="0"/>
                <w:sz w:val="18"/>
                <w:szCs w:val="18"/>
              </w:rPr>
              <w:t>对纳入全区集中管理的景观亮化设施</w:t>
            </w:r>
            <w:r>
              <w:rPr>
                <w:rFonts w:hint="eastAsia" w:ascii="宋体" w:hAnsi="宋体" w:eastAsia="宋体" w:cs="Times New Roman"/>
                <w:kern w:val="0"/>
                <w:sz w:val="18"/>
                <w:szCs w:val="18"/>
                <w:lang w:eastAsia="zh-CN"/>
              </w:rPr>
              <w:t>点位</w:t>
            </w:r>
            <w:r>
              <w:rPr>
                <w:rFonts w:hint="eastAsia" w:ascii="宋体" w:hAnsi="宋体" w:eastAsia="宋体" w:cs="Times New Roman"/>
                <w:kern w:val="0"/>
                <w:sz w:val="18"/>
                <w:szCs w:val="18"/>
              </w:rPr>
              <w:t>进行巡查</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320个</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320个</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rPr>
            </w:pPr>
            <w:r>
              <w:rPr>
                <w:rFonts w:hint="eastAsia" w:ascii="宋体" w:hAnsi="宋体" w:eastAsia="宋体" w:cs="Times New Roman"/>
                <w:kern w:val="0"/>
                <w:sz w:val="18"/>
                <w:szCs w:val="18"/>
                <w:lang w:val="en-US" w:eastAsia="zh-CN"/>
              </w:rPr>
              <w:t>春节期间在主要道路两侧悬挂LED灯笼和中国结</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8条</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8条</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rPr>
            </w:pPr>
            <w:r>
              <w:rPr>
                <w:rFonts w:hint="eastAsia" w:ascii="宋体" w:hAnsi="宋体" w:eastAsia="宋体" w:cs="Times New Roman"/>
                <w:kern w:val="0"/>
                <w:sz w:val="18"/>
                <w:szCs w:val="18"/>
                <w:lang w:eastAsia="zh-CN"/>
              </w:rPr>
              <w:t>违规广告招牌整治</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2条道路</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2条道路</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val="en-US" w:eastAsia="zh-CN"/>
              </w:rPr>
              <w:t>国庆期间在主要道路两侧张挂国旗</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8条</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8条</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每月维修问题井盖</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100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100</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桥梁检测</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1座</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1座</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质量指标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both"/>
              <w:rPr>
                <w:rFonts w:ascii="宋体" w:hAnsi="宋体" w:eastAsia="宋体" w:cs="宋体"/>
                <w:kern w:val="0"/>
                <w:sz w:val="24"/>
                <w:szCs w:val="24"/>
              </w:rPr>
            </w:pPr>
            <w:r>
              <w:rPr>
                <w:rFonts w:hint="eastAsia" w:ascii="宋体" w:hAnsi="宋体" w:eastAsia="宋体" w:cs="Times New Roman"/>
                <w:kern w:val="0"/>
                <w:sz w:val="18"/>
                <w:szCs w:val="18"/>
                <w:lang w:eastAsia="zh-CN"/>
              </w:rPr>
              <w:t>景观亮化</w:t>
            </w:r>
            <w:r>
              <w:rPr>
                <w:rFonts w:hint="eastAsia" w:ascii="宋体" w:hAnsi="宋体" w:eastAsia="宋体" w:cs="Times New Roman"/>
                <w:kern w:val="0"/>
                <w:sz w:val="18"/>
                <w:szCs w:val="18"/>
              </w:rPr>
              <w:t>设施完好</w:t>
            </w:r>
            <w:r>
              <w:rPr>
                <w:rFonts w:hint="eastAsia" w:ascii="宋体" w:hAnsi="宋体" w:cs="Times New Roman"/>
                <w:kern w:val="0"/>
                <w:sz w:val="18"/>
                <w:szCs w:val="18"/>
                <w:lang w:eastAsia="zh-CN"/>
              </w:rPr>
              <w:t>率、亮灯率</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≥98%</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≥98%</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Times New Roman"/>
                <w:kern w:val="0"/>
                <w:sz w:val="18"/>
                <w:szCs w:val="18"/>
                <w:lang w:val="en-US" w:eastAsia="zh-CN"/>
              </w:rPr>
              <w:t>整改路段广告招牌合格率</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≥90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≥90</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城市家具整治合格率</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val="en-US" w:eastAsia="zh-CN"/>
              </w:rPr>
            </w:pPr>
            <w:r>
              <w:rPr>
                <w:rFonts w:ascii="宋体" w:hAnsi="宋体" w:eastAsia="宋体"/>
                <w:color w:val="000000"/>
                <w:sz w:val="20"/>
              </w:rPr>
              <w:t>100%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val="en-US" w:eastAsia="zh-CN"/>
              </w:rPr>
            </w:pPr>
            <w:r>
              <w:rPr>
                <w:rFonts w:ascii="宋体" w:hAnsi="宋体" w:eastAsia="宋体"/>
                <w:color w:val="000000"/>
                <w:sz w:val="20"/>
              </w:rPr>
              <w:t>100%</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城市桥梁维修合格率</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eastAsia="zh-CN"/>
              </w:rPr>
              <w:t>100%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eastAsia="zh-CN"/>
              </w:rPr>
              <w:t>100%</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时效指标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Times New Roman"/>
                <w:kern w:val="0"/>
                <w:sz w:val="18"/>
                <w:szCs w:val="18"/>
                <w:lang w:val="en-US" w:eastAsia="zh-CN"/>
              </w:rPr>
              <w:t>春节悬挂LED灯笼和中国结实施时间</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规定时间内</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规定时间内</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Times New Roman"/>
                <w:kern w:val="0"/>
                <w:sz w:val="18"/>
                <w:szCs w:val="18"/>
                <w:lang w:val="en-US" w:eastAsia="zh-CN"/>
              </w:rPr>
              <w:t>国庆节主要道路两侧张挂国旗</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规定时间内</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规定时间内</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Times New Roman"/>
                <w:kern w:val="0"/>
                <w:sz w:val="18"/>
                <w:szCs w:val="18"/>
                <w:lang w:eastAsia="zh-CN"/>
              </w:rPr>
              <w:t>违规广告招牌整治完成时间</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12月底前</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val="en-US" w:eastAsia="zh-CN"/>
              </w:rPr>
              <w:t>12月底前</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城市家具应急抢修维护及时</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及时</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val="en-US" w:eastAsia="zh-CN"/>
              </w:rPr>
              <w:t>及时</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桥梁检测</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eastAsia="zh-CN"/>
              </w:rPr>
              <w:t>规定时间内</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val="en-US" w:eastAsia="zh-CN"/>
              </w:rPr>
            </w:pPr>
            <w:r>
              <w:rPr>
                <w:rFonts w:hint="eastAsia" w:ascii="宋体" w:hAnsi="宋体" w:eastAsia="宋体" w:cs="Times New Roman"/>
                <w:kern w:val="0"/>
                <w:sz w:val="18"/>
                <w:szCs w:val="18"/>
                <w:lang w:eastAsia="zh-CN"/>
              </w:rPr>
              <w:t>规定时间内</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成本指标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景观照明设施运行维护费用</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600万元</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600万元</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户外广告门面招牌整治费用</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150万元</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150万元</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城市家具专项整治费用</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600万元</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600万元</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val="en-US" w:eastAsia="zh-CN"/>
              </w:rPr>
              <w:t>城市桥梁管理费用</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Times New Roman"/>
                <w:kern w:val="0"/>
                <w:sz w:val="18"/>
                <w:szCs w:val="18"/>
                <w:lang w:val="en-US"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50万元</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w:t>
            </w:r>
            <w:r>
              <w:rPr>
                <w:rFonts w:hint="eastAsia" w:ascii="宋体" w:hAnsi="宋体" w:eastAsia="宋体" w:cs="Times New Roman"/>
                <w:kern w:val="0"/>
                <w:sz w:val="18"/>
                <w:szCs w:val="18"/>
                <w:lang w:val="en-US" w:eastAsia="zh-CN"/>
              </w:rPr>
              <w:t>50万元</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效益指标</w:t>
            </w: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经济效益</w:t>
            </w:r>
          </w:p>
          <w:p>
            <w:pPr>
              <w:widowControl/>
              <w:jc w:val="center"/>
              <w:rPr>
                <w:rFonts w:ascii="宋体" w:hAnsi="宋体" w:eastAsia="宋体" w:cs="宋体"/>
                <w:kern w:val="0"/>
                <w:sz w:val="24"/>
                <w:szCs w:val="24"/>
              </w:rPr>
            </w:pPr>
            <w:r>
              <w:rPr>
                <w:rFonts w:ascii="宋体" w:hAnsi="宋体" w:eastAsia="宋体" w:cs="宋体"/>
                <w:kern w:val="0"/>
                <w:sz w:val="24"/>
                <w:szCs w:val="24"/>
              </w:rPr>
              <w:t>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eastAsia="zh-CN"/>
              </w:rPr>
              <w:t>打造灯明景靓城市夜景</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改善</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Times New Roman"/>
                <w:kern w:val="0"/>
                <w:sz w:val="18"/>
                <w:szCs w:val="18"/>
                <w:lang w:eastAsia="zh-CN"/>
              </w:rPr>
            </w:pPr>
            <w:r>
              <w:rPr>
                <w:rFonts w:hint="eastAsia" w:ascii="宋体" w:hAnsi="宋体" w:eastAsia="宋体" w:cs="Times New Roman"/>
                <w:kern w:val="0"/>
                <w:sz w:val="18"/>
                <w:szCs w:val="18"/>
                <w:lang w:eastAsia="zh-CN"/>
              </w:rPr>
              <w:t>改善</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eastAsia="zh-CN"/>
              </w:rPr>
              <w:t>营造良好的营商环境</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cs="Times New Roman"/>
                <w:kern w:val="0"/>
                <w:sz w:val="18"/>
                <w:szCs w:val="18"/>
                <w:lang w:eastAsia="zh-CN"/>
              </w:rPr>
              <w:t>完善</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cs="Times New Roman"/>
                <w:kern w:val="0"/>
                <w:sz w:val="18"/>
                <w:szCs w:val="18"/>
                <w:lang w:eastAsia="zh-CN"/>
              </w:rPr>
              <w:t>完善</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社会效益</w:t>
            </w:r>
          </w:p>
          <w:p>
            <w:pPr>
              <w:widowControl/>
              <w:jc w:val="center"/>
              <w:rPr>
                <w:rFonts w:ascii="宋体" w:hAnsi="宋体" w:eastAsia="宋体" w:cs="宋体"/>
                <w:kern w:val="0"/>
                <w:sz w:val="24"/>
                <w:szCs w:val="24"/>
              </w:rPr>
            </w:pPr>
            <w:r>
              <w:rPr>
                <w:rFonts w:ascii="宋体" w:hAnsi="宋体" w:eastAsia="宋体" w:cs="宋体"/>
                <w:kern w:val="0"/>
                <w:sz w:val="24"/>
                <w:szCs w:val="24"/>
              </w:rPr>
              <w:t>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eastAsia="zh-CN"/>
              </w:rPr>
              <w:t>提升辖区城市形象</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eastAsia="zh-CN"/>
              </w:rPr>
              <w:t>完善</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完善</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eastAsia="zh-CN"/>
              </w:rPr>
            </w:pPr>
            <w:r>
              <w:rPr>
                <w:rFonts w:hint="eastAsia" w:ascii="宋体" w:hAnsi="宋体" w:cs="Times New Roman"/>
                <w:kern w:val="0"/>
                <w:sz w:val="18"/>
                <w:szCs w:val="18"/>
                <w:lang w:eastAsia="zh-CN"/>
              </w:rPr>
              <w:t>各类城市家具规范设置，容貌整洁美观，功能完好，提升城市形象</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cs="Times New Roman"/>
                <w:kern w:val="0"/>
                <w:sz w:val="18"/>
                <w:szCs w:val="18"/>
                <w:lang w:eastAsia="zh-CN"/>
              </w:rPr>
              <w:t>完善</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cs="Times New Roman"/>
                <w:kern w:val="0"/>
                <w:sz w:val="18"/>
                <w:szCs w:val="18"/>
                <w:lang w:eastAsia="zh-CN"/>
              </w:rPr>
              <w:t>完善</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eastAsia="zh-CN"/>
              </w:rPr>
            </w:pPr>
            <w:r>
              <w:rPr>
                <w:rFonts w:ascii="宋体" w:hAnsi="宋体" w:eastAsia="宋体"/>
                <w:color w:val="000000"/>
                <w:sz w:val="20"/>
              </w:rPr>
              <w:t>服务市民出行，维修后的桥梁通行率</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cs="Times New Roman"/>
                <w:kern w:val="0"/>
                <w:sz w:val="18"/>
                <w:szCs w:val="18"/>
                <w:lang w:eastAsia="zh-CN"/>
              </w:rPr>
              <w:t>完善</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val="en-US" w:eastAsia="zh-CN" w:bidi="ar-SA"/>
              </w:rPr>
            </w:pPr>
            <w:r>
              <w:rPr>
                <w:rFonts w:hint="eastAsia" w:ascii="宋体" w:hAnsi="宋体" w:cs="Times New Roman"/>
                <w:kern w:val="0"/>
                <w:sz w:val="18"/>
                <w:szCs w:val="18"/>
                <w:lang w:eastAsia="zh-CN"/>
              </w:rPr>
              <w:t>完善</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olor w:val="000000"/>
                <w:sz w:val="20"/>
              </w:rPr>
            </w:pPr>
            <w:r>
              <w:rPr>
                <w:rFonts w:ascii="宋体" w:hAnsi="宋体" w:eastAsia="宋体"/>
                <w:color w:val="000000"/>
                <w:sz w:val="20"/>
              </w:rPr>
              <w:t>生态效益</w:t>
            </w:r>
          </w:p>
          <w:p>
            <w:pPr>
              <w:widowControl/>
              <w:jc w:val="center"/>
              <w:rPr>
                <w:rFonts w:ascii="宋体" w:hAnsi="宋体" w:eastAsia="宋体"/>
                <w:color w:val="000000"/>
                <w:sz w:val="20"/>
              </w:rPr>
            </w:pPr>
            <w:r>
              <w:rPr>
                <w:rFonts w:ascii="宋体" w:hAnsi="宋体" w:eastAsia="宋体"/>
                <w:color w:val="000000"/>
                <w:sz w:val="20"/>
              </w:rPr>
              <w:t>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olor w:val="000000"/>
                <w:sz w:val="20"/>
                <w:lang w:eastAsia="zh-CN"/>
              </w:rPr>
            </w:pPr>
            <w:r>
              <w:rPr>
                <w:rFonts w:hint="eastAsia" w:ascii="宋体" w:hAnsi="宋体" w:eastAsia="宋体"/>
                <w:color w:val="000000"/>
                <w:sz w:val="20"/>
                <w:lang w:eastAsia="zh-CN"/>
              </w:rPr>
              <w:t>景观亮化设施材料采用节能产品</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olor w:val="000000"/>
                <w:sz w:val="20"/>
                <w:lang w:eastAsia="zh-CN"/>
              </w:rPr>
            </w:pPr>
            <w:r>
              <w:rPr>
                <w:rFonts w:hint="eastAsia" w:ascii="宋体" w:hAnsi="宋体" w:eastAsia="宋体"/>
                <w:color w:val="000000"/>
                <w:sz w:val="20"/>
                <w:lang w:eastAsia="zh-CN"/>
              </w:rPr>
              <w:t>采用</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olor w:val="000000"/>
                <w:sz w:val="20"/>
                <w:lang w:eastAsia="zh-CN"/>
              </w:rPr>
            </w:pPr>
            <w:r>
              <w:rPr>
                <w:rFonts w:hint="eastAsia" w:ascii="宋体" w:hAnsi="宋体" w:eastAsia="宋体"/>
                <w:color w:val="000000"/>
                <w:sz w:val="20"/>
                <w:lang w:eastAsia="zh-CN"/>
              </w:rPr>
              <w:t>采用</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restart"/>
            <w:tcBorders>
              <w:top w:val="single" w:color="auto" w:sz="4" w:space="0"/>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可持续</w:t>
            </w:r>
          </w:p>
          <w:p>
            <w:pPr>
              <w:widowControl/>
              <w:jc w:val="center"/>
              <w:rPr>
                <w:rFonts w:ascii="宋体" w:hAnsi="宋体" w:eastAsia="宋体" w:cs="宋体"/>
                <w:kern w:val="0"/>
                <w:sz w:val="24"/>
                <w:szCs w:val="24"/>
              </w:rPr>
            </w:pPr>
            <w:r>
              <w:rPr>
                <w:rFonts w:ascii="宋体" w:hAnsi="宋体" w:eastAsia="宋体" w:cs="宋体"/>
                <w:kern w:val="0"/>
                <w:sz w:val="24"/>
                <w:szCs w:val="24"/>
              </w:rPr>
              <w:t>影响指标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eastAsia="zh-CN"/>
              </w:rPr>
              <w:t>亮化设施正常运行</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olor w:val="000000"/>
                <w:sz w:val="20"/>
                <w:lang w:eastAsia="zh-CN"/>
              </w:rPr>
            </w:pPr>
            <w:r>
              <w:rPr>
                <w:rFonts w:hint="eastAsia" w:ascii="宋体" w:hAnsi="宋体" w:eastAsia="宋体"/>
                <w:color w:val="000000"/>
                <w:sz w:val="20"/>
                <w:lang w:eastAsia="zh-CN"/>
              </w:rPr>
              <w:t>长期维护</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olor w:val="000000"/>
                <w:sz w:val="20"/>
                <w:lang w:eastAsia="zh-CN"/>
              </w:rPr>
            </w:pPr>
            <w:r>
              <w:rPr>
                <w:rFonts w:hint="eastAsia" w:ascii="宋体" w:hAnsi="宋体" w:eastAsia="宋体"/>
                <w:color w:val="000000"/>
                <w:sz w:val="20"/>
                <w:lang w:eastAsia="zh-CN"/>
              </w:rPr>
              <w:t>长期维护</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560" w:type="dxa"/>
            <w:gridSpan w:val="2"/>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eastAsia="zh-CN"/>
              </w:rPr>
            </w:pPr>
            <w:r>
              <w:rPr>
                <w:rFonts w:hint="eastAsia" w:ascii="宋体" w:hAnsi="宋体" w:cs="Times New Roman"/>
                <w:kern w:val="0"/>
                <w:sz w:val="18"/>
                <w:szCs w:val="18"/>
                <w:lang w:eastAsia="zh-CN"/>
              </w:rPr>
              <w:t>保障桥梁行人通行，促进城市可持续发展</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eastAsia="zh-CN"/>
              </w:rPr>
            </w:pPr>
            <w:r>
              <w:rPr>
                <w:rFonts w:hint="eastAsia" w:ascii="宋体" w:hAnsi="宋体" w:cs="Times New Roman"/>
                <w:kern w:val="0"/>
                <w:sz w:val="18"/>
                <w:szCs w:val="18"/>
                <w:lang w:eastAsia="zh-CN"/>
              </w:rPr>
              <w:t>长期维护</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Times New Roman"/>
                <w:kern w:val="0"/>
                <w:sz w:val="18"/>
                <w:szCs w:val="18"/>
                <w:lang w:eastAsia="zh-CN"/>
              </w:rPr>
            </w:pPr>
            <w:r>
              <w:rPr>
                <w:rFonts w:hint="eastAsia" w:ascii="宋体" w:hAnsi="宋体" w:cs="Times New Roman"/>
                <w:kern w:val="0"/>
                <w:sz w:val="18"/>
                <w:szCs w:val="18"/>
                <w:lang w:eastAsia="zh-CN"/>
              </w:rPr>
              <w:t>长期维护</w:t>
            </w:r>
          </w:p>
        </w:tc>
      </w:tr>
      <w:tr>
        <w:tblPrEx>
          <w:tblCellMar>
            <w:top w:w="0" w:type="dxa"/>
            <w:left w:w="108" w:type="dxa"/>
            <w:bottom w:w="0" w:type="dxa"/>
            <w:right w:w="108" w:type="dxa"/>
          </w:tblCellMar>
        </w:tblPrEx>
        <w:trPr>
          <w:trHeight w:val="431" w:hRule="atLeast"/>
        </w:trPr>
        <w:tc>
          <w:tcPr>
            <w:tcW w:w="155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2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满意度</w:t>
            </w:r>
          </w:p>
        </w:tc>
        <w:tc>
          <w:tcPr>
            <w:tcW w:w="15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服务对象</w:t>
            </w:r>
          </w:p>
          <w:p>
            <w:pPr>
              <w:widowControl/>
              <w:jc w:val="center"/>
              <w:rPr>
                <w:rFonts w:ascii="宋体" w:hAnsi="宋体" w:eastAsia="宋体" w:cs="宋体"/>
                <w:kern w:val="0"/>
                <w:sz w:val="24"/>
                <w:szCs w:val="24"/>
              </w:rPr>
            </w:pPr>
            <w:r>
              <w:rPr>
                <w:rFonts w:ascii="宋体" w:hAnsi="宋体" w:eastAsia="宋体" w:cs="宋体"/>
                <w:kern w:val="0"/>
                <w:sz w:val="24"/>
                <w:szCs w:val="24"/>
              </w:rPr>
              <w:t>满意度指标</w:t>
            </w:r>
          </w:p>
        </w:tc>
        <w:tc>
          <w:tcPr>
            <w:tcW w:w="209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eastAsia="zh-CN"/>
              </w:rPr>
              <w:t>投诉件回复满意率</w:t>
            </w:r>
          </w:p>
        </w:tc>
        <w:tc>
          <w:tcPr>
            <w:tcW w:w="14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≥90%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cs="Times New Roman"/>
                <w:kern w:val="0"/>
                <w:sz w:val="18"/>
                <w:szCs w:val="18"/>
                <w:lang w:val="en-US" w:eastAsia="zh-CN"/>
              </w:rPr>
              <w:t>≥90%</w:t>
            </w:r>
          </w:p>
        </w:tc>
      </w:tr>
    </w:tbl>
    <w:p>
      <w:pPr>
        <w:spacing w:line="579" w:lineRule="exact"/>
        <w:rPr>
          <w:rFonts w:ascii="黑体" w:hAnsi="黑体" w:eastAsia="黑体" w:cs="Arial"/>
          <w:color w:val="000000" w:themeColor="text1"/>
          <w:kern w:val="0"/>
          <w:sz w:val="32"/>
          <w:szCs w:val="32"/>
          <w14:textFill>
            <w14:solidFill>
              <w14:schemeClr w14:val="tx1"/>
            </w14:solidFill>
          </w14:textFill>
        </w:rPr>
      </w:pPr>
      <w:r>
        <w:rPr>
          <w:rFonts w:ascii="宋体" w:hAnsi="宋体" w:eastAsia="宋体" w:cs="Arial"/>
          <w:color w:val="000000" w:themeColor="text1"/>
          <w:kern w:val="0"/>
          <w:sz w:val="24"/>
          <w:szCs w:val="24"/>
          <w14:textFill>
            <w14:solidFill>
              <w14:schemeClr w14:val="tx1"/>
            </w14:solidFill>
          </w14:textFill>
        </w:rPr>
        <w:fldChar w:fldCharType="end"/>
      </w:r>
    </w:p>
    <w:p>
      <w:pPr>
        <w:rPr>
          <w:rFonts w:ascii="黑体" w:hAnsi="黑体" w:eastAsia="黑体" w:cs="Arial"/>
          <w:color w:val="000000" w:themeColor="text1"/>
          <w:kern w:val="0"/>
          <w:sz w:val="32"/>
          <w:szCs w:val="32"/>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仿宋_GB2312"/>
    <w:panose1 w:val="03000509000000000000"/>
    <w:charset w:val="86"/>
    <w:family w:val="script"/>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262EB"/>
    <w:rsid w:val="0A1D2DC0"/>
    <w:rsid w:val="17247D1D"/>
    <w:rsid w:val="1BD47E2E"/>
    <w:rsid w:val="2A0262EB"/>
    <w:rsid w:val="2DF02537"/>
    <w:rsid w:val="3484603E"/>
    <w:rsid w:val="41510725"/>
    <w:rsid w:val="4DD443BC"/>
    <w:rsid w:val="4E662ED3"/>
    <w:rsid w:val="5D014B36"/>
    <w:rsid w:val="5DB6446D"/>
    <w:rsid w:val="62BD58F1"/>
    <w:rsid w:val="6B135625"/>
    <w:rsid w:val="712B0EBF"/>
    <w:rsid w:val="74481F00"/>
    <w:rsid w:val="7BFE7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正文1"/>
    <w:basedOn w:val="7"/>
    <w:qFormat/>
    <w:uiPriority w:val="3"/>
    <w:pPr>
      <w:widowControl/>
      <w:jc w:val="both"/>
    </w:pPr>
    <w:rPr>
      <w:rFonts w:ascii="Times New Roman" w:hAnsi="Times New Roman" w:eastAsia="Times New Roman"/>
      <w:sz w:val="21"/>
    </w:rPr>
  </w:style>
  <w:style w:type="paragraph" w:customStyle="1" w:styleId="7">
    <w:name w:val="[Normal]"/>
    <w:qFormat/>
    <w:uiPriority w:val="6"/>
    <w:rPr>
      <w:rFonts w:ascii="宋体" w:hAnsi="宋体" w:eastAsia="宋体" w:cs="Times New Roman"/>
      <w:color w:val="auto"/>
      <w:position w:val="0"/>
      <w:sz w:val="24"/>
      <w:u w:val="none"/>
      <w:shd w:val="clear" w:color="auto" w:fill="auto"/>
      <w:lang w:val="zh-CN"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2021-09-26T01:08:00Z</dcterms:created>
  <dc:creator>凡子</dc:creator>
  <cp:lastModifiedBy>Administrator</cp:lastModifiedBy>
  <cp:lastPrinted>2021-09-29T01:36:45Z</cp:lastPrinted>
  <dcterms:modified xsi:type="dcterms:W3CDTF">2021-09-29T02:35:39Z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FC6D2BEFF57B4C07B166DC5CD0F000D6</vt:lpwstr>
  </property>
</Properties>
</file>